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E529" w14:textId="77777777" w:rsidR="00AC20C1" w:rsidRPr="00AC20C1" w:rsidRDefault="00AC20C1" w:rsidP="00AC20C1">
      <w:pPr>
        <w:ind w:left="1440" w:right="720"/>
        <w:jc w:val="both"/>
        <w:rPr>
          <w:sz w:val="22"/>
          <w:szCs w:val="22"/>
        </w:rPr>
      </w:pPr>
      <w:r w:rsidRPr="00AC20C1">
        <w:rPr>
          <w:sz w:val="22"/>
          <w:szCs w:val="22"/>
        </w:rPr>
        <w:tab/>
      </w:r>
    </w:p>
    <w:p w14:paraId="089B3D13" w14:textId="094CFE0B" w:rsidR="00AC20C1" w:rsidRPr="00AC20C1" w:rsidRDefault="00AC20C1" w:rsidP="008B4576">
      <w:pPr>
        <w:ind w:right="720"/>
        <w:jc w:val="both"/>
        <w:rPr>
          <w:sz w:val="22"/>
          <w:szCs w:val="22"/>
        </w:rPr>
      </w:pPr>
      <w:r w:rsidRPr="00AC20C1">
        <w:rPr>
          <w:sz w:val="22"/>
          <w:szCs w:val="22"/>
        </w:rPr>
        <w:t xml:space="preserve">The following is an explanation of taxable cash and non-cash fringe benefits that may be included in </w:t>
      </w:r>
      <w:r w:rsidR="00720C27">
        <w:rPr>
          <w:sz w:val="22"/>
          <w:szCs w:val="22"/>
        </w:rPr>
        <w:t>box 1, box 5, box 16, and box 18</w:t>
      </w:r>
      <w:r w:rsidRPr="00AC20C1">
        <w:rPr>
          <w:sz w:val="22"/>
          <w:szCs w:val="22"/>
        </w:rPr>
        <w:t xml:space="preserve"> on your 20</w:t>
      </w:r>
      <w:r w:rsidR="004C016A">
        <w:rPr>
          <w:sz w:val="22"/>
          <w:szCs w:val="22"/>
        </w:rPr>
        <w:t>20</w:t>
      </w:r>
      <w:r w:rsidRPr="00AC20C1">
        <w:rPr>
          <w:sz w:val="22"/>
          <w:szCs w:val="22"/>
        </w:rPr>
        <w:t xml:space="preserve"> W-2 form.  The amount added to these boxes will be shown on your W-2 in the box number noted under each heading.</w:t>
      </w:r>
    </w:p>
    <w:p w14:paraId="4682C590" w14:textId="77777777" w:rsidR="00AC20C1" w:rsidRPr="00AC20C1" w:rsidRDefault="00AC20C1" w:rsidP="00AC20C1">
      <w:pPr>
        <w:ind w:left="1440" w:right="720"/>
        <w:jc w:val="both"/>
        <w:rPr>
          <w:sz w:val="22"/>
          <w:szCs w:val="22"/>
        </w:rPr>
      </w:pPr>
    </w:p>
    <w:p w14:paraId="21E1FFFA" w14:textId="77777777" w:rsidR="00AC20C1" w:rsidRPr="00492F9E" w:rsidRDefault="00AC20C1" w:rsidP="008B4576">
      <w:pPr>
        <w:ind w:right="720"/>
        <w:jc w:val="both"/>
        <w:rPr>
          <w:b/>
          <w:sz w:val="22"/>
          <w:szCs w:val="22"/>
        </w:rPr>
      </w:pPr>
      <w:r w:rsidRPr="00492F9E">
        <w:rPr>
          <w:b/>
          <w:sz w:val="22"/>
          <w:szCs w:val="22"/>
        </w:rPr>
        <w:t>Athletic Season Tickets</w:t>
      </w:r>
    </w:p>
    <w:p w14:paraId="7625EB6A" w14:textId="5F2472DF" w:rsidR="00AC20C1" w:rsidRPr="00AC20C1" w:rsidRDefault="00AC20C1" w:rsidP="008B4576">
      <w:pPr>
        <w:ind w:right="720"/>
        <w:jc w:val="both"/>
        <w:rPr>
          <w:sz w:val="22"/>
          <w:szCs w:val="22"/>
        </w:rPr>
      </w:pPr>
      <w:r w:rsidRPr="00AC20C1">
        <w:rPr>
          <w:sz w:val="22"/>
          <w:szCs w:val="22"/>
        </w:rPr>
        <w:t>If in 20</w:t>
      </w:r>
      <w:r w:rsidR="004C016A">
        <w:rPr>
          <w:sz w:val="22"/>
          <w:szCs w:val="22"/>
        </w:rPr>
        <w:t>20</w:t>
      </w:r>
      <w:r w:rsidRPr="00AC20C1">
        <w:rPr>
          <w:sz w:val="22"/>
          <w:szCs w:val="22"/>
        </w:rPr>
        <w:t xml:space="preserve"> you received season tickets to athletic events, the value of the season tickets less 20% is included in your taxable income. (amount shown in box 14 code Y)</w:t>
      </w:r>
    </w:p>
    <w:p w14:paraId="27C53A4B" w14:textId="77777777" w:rsidR="00AC20C1" w:rsidRPr="00AC20C1" w:rsidRDefault="00AC20C1" w:rsidP="00AC20C1">
      <w:pPr>
        <w:ind w:left="1440" w:right="720"/>
        <w:jc w:val="both"/>
        <w:rPr>
          <w:sz w:val="22"/>
          <w:szCs w:val="22"/>
        </w:rPr>
      </w:pPr>
    </w:p>
    <w:p w14:paraId="545A2197" w14:textId="77777777" w:rsidR="00AC20C1" w:rsidRPr="00492F9E" w:rsidRDefault="00AC20C1" w:rsidP="008B4576">
      <w:pPr>
        <w:ind w:right="720"/>
        <w:jc w:val="both"/>
        <w:rPr>
          <w:b/>
          <w:sz w:val="22"/>
          <w:szCs w:val="22"/>
        </w:rPr>
      </w:pPr>
      <w:r w:rsidRPr="00492F9E">
        <w:rPr>
          <w:b/>
          <w:sz w:val="22"/>
          <w:szCs w:val="22"/>
        </w:rPr>
        <w:t>Personal Auto Use</w:t>
      </w:r>
    </w:p>
    <w:p w14:paraId="20C78F99" w14:textId="77777777" w:rsidR="00AC20C1" w:rsidRPr="00AC20C1" w:rsidRDefault="00AC20C1" w:rsidP="008B4576">
      <w:pPr>
        <w:ind w:right="720"/>
        <w:jc w:val="both"/>
        <w:rPr>
          <w:sz w:val="22"/>
          <w:szCs w:val="22"/>
        </w:rPr>
      </w:pPr>
      <w:r w:rsidRPr="00AC20C1">
        <w:rPr>
          <w:sz w:val="22"/>
          <w:szCs w:val="22"/>
        </w:rPr>
        <w:t>The Deficit Reduction Act of 1984 (DEFRA) requires that employees who are provided automobiles by their employers to be charged with additional taxable income for the personal use of such automobiles. (amount shown in box 14 code U).</w:t>
      </w:r>
    </w:p>
    <w:p w14:paraId="22DCB015" w14:textId="77777777" w:rsidR="00AC20C1" w:rsidRPr="00AC20C1" w:rsidRDefault="00AC20C1" w:rsidP="00AC20C1">
      <w:pPr>
        <w:ind w:left="1440" w:right="720"/>
        <w:jc w:val="both"/>
        <w:rPr>
          <w:sz w:val="22"/>
          <w:szCs w:val="22"/>
        </w:rPr>
      </w:pPr>
    </w:p>
    <w:p w14:paraId="075BE4C2" w14:textId="77777777" w:rsidR="00AC20C1" w:rsidRPr="00492F9E" w:rsidRDefault="00AC20C1" w:rsidP="008B4576">
      <w:pPr>
        <w:ind w:left="1440" w:right="720" w:hanging="1440"/>
        <w:jc w:val="both"/>
        <w:rPr>
          <w:b/>
          <w:sz w:val="22"/>
          <w:szCs w:val="22"/>
        </w:rPr>
      </w:pPr>
      <w:r w:rsidRPr="00492F9E">
        <w:rPr>
          <w:b/>
          <w:sz w:val="22"/>
          <w:szCs w:val="22"/>
        </w:rPr>
        <w:t>Graduate Fee Remission</w:t>
      </w:r>
    </w:p>
    <w:p w14:paraId="6B6392C2" w14:textId="77777777" w:rsidR="00AC20C1" w:rsidRPr="00AC20C1" w:rsidRDefault="00AC20C1" w:rsidP="008B4576">
      <w:pPr>
        <w:ind w:right="720"/>
        <w:jc w:val="both"/>
        <w:rPr>
          <w:sz w:val="22"/>
          <w:szCs w:val="22"/>
        </w:rPr>
      </w:pPr>
      <w:r w:rsidRPr="00AC20C1">
        <w:rPr>
          <w:sz w:val="22"/>
          <w:szCs w:val="22"/>
        </w:rPr>
        <w:t xml:space="preserve">The Deficit Reduction Act of 1984 (DEFRA) requires that fee reductions granted to employees, spouses and dependent children for courses taken at the graduate level be included in taxable income.  Effective January 1, 2004, employees who take graduate level courses will only be taxed on fee reductions that exceed $5,250 for the calendar year.  Graduate fee reductions for spouses and dependent children remain taxable on the full amount.  (amount shown in box 14 code V)    </w:t>
      </w:r>
    </w:p>
    <w:p w14:paraId="660203BA" w14:textId="77777777" w:rsidR="00AC20C1" w:rsidRPr="00AC20C1" w:rsidRDefault="00AC20C1" w:rsidP="00AC20C1">
      <w:pPr>
        <w:ind w:left="1440" w:right="720"/>
        <w:jc w:val="both"/>
        <w:rPr>
          <w:sz w:val="22"/>
          <w:szCs w:val="22"/>
        </w:rPr>
      </w:pPr>
    </w:p>
    <w:p w14:paraId="7655DC18" w14:textId="77777777" w:rsidR="00AC20C1" w:rsidRPr="00492F9E" w:rsidRDefault="00AC20C1" w:rsidP="008B4576">
      <w:pPr>
        <w:ind w:right="720"/>
        <w:jc w:val="both"/>
        <w:rPr>
          <w:b/>
          <w:sz w:val="22"/>
          <w:szCs w:val="22"/>
        </w:rPr>
      </w:pPr>
      <w:r w:rsidRPr="00492F9E">
        <w:rPr>
          <w:b/>
          <w:sz w:val="22"/>
          <w:szCs w:val="22"/>
        </w:rPr>
        <w:t>Group Term Life Insurance</w:t>
      </w:r>
    </w:p>
    <w:p w14:paraId="56E989A4" w14:textId="77777777" w:rsidR="00AC20C1" w:rsidRPr="00AC20C1" w:rsidRDefault="00AC20C1" w:rsidP="008B4576">
      <w:pPr>
        <w:ind w:right="720"/>
        <w:jc w:val="both"/>
        <w:rPr>
          <w:sz w:val="22"/>
          <w:szCs w:val="22"/>
        </w:rPr>
      </w:pPr>
      <w:r w:rsidRPr="00AC20C1">
        <w:rPr>
          <w:sz w:val="22"/>
          <w:szCs w:val="22"/>
        </w:rPr>
        <w:t>Section 79 of the Internal Revenue Code stipulates that the cost of group-term life insurance coverage in excess of $50,000 is considered as taxable income to the insured.  The cost rates are established by the IRS based on the age of the covered employee (amount shown in box 12 code C).</w:t>
      </w:r>
    </w:p>
    <w:p w14:paraId="58523B68" w14:textId="77777777" w:rsidR="00AC20C1" w:rsidRPr="00AC20C1" w:rsidRDefault="00AC20C1" w:rsidP="00AC20C1">
      <w:pPr>
        <w:ind w:left="1440" w:right="720"/>
        <w:jc w:val="both"/>
        <w:rPr>
          <w:sz w:val="22"/>
          <w:szCs w:val="22"/>
        </w:rPr>
      </w:pPr>
    </w:p>
    <w:p w14:paraId="65BDF506" w14:textId="77777777" w:rsidR="00AC20C1" w:rsidRPr="00492F9E" w:rsidRDefault="00AC20C1" w:rsidP="008B4576">
      <w:pPr>
        <w:ind w:right="720"/>
        <w:jc w:val="both"/>
        <w:rPr>
          <w:b/>
          <w:sz w:val="22"/>
          <w:szCs w:val="22"/>
        </w:rPr>
      </w:pPr>
      <w:r w:rsidRPr="00492F9E">
        <w:rPr>
          <w:b/>
          <w:sz w:val="22"/>
          <w:szCs w:val="22"/>
        </w:rPr>
        <w:t>Moving Expenses</w:t>
      </w:r>
    </w:p>
    <w:p w14:paraId="436DC4C4" w14:textId="6B386B55" w:rsidR="00AC20C1" w:rsidRPr="00AC20C1" w:rsidRDefault="00AC20C1" w:rsidP="008B4576">
      <w:pPr>
        <w:ind w:right="720"/>
        <w:jc w:val="both"/>
        <w:rPr>
          <w:sz w:val="22"/>
          <w:szCs w:val="22"/>
        </w:rPr>
      </w:pPr>
      <w:r w:rsidRPr="00AC20C1">
        <w:rPr>
          <w:sz w:val="22"/>
          <w:szCs w:val="22"/>
        </w:rPr>
        <w:t>If in 20</w:t>
      </w:r>
      <w:r w:rsidR="004C016A">
        <w:rPr>
          <w:sz w:val="22"/>
          <w:szCs w:val="22"/>
        </w:rPr>
        <w:t>20</w:t>
      </w:r>
      <w:r w:rsidRPr="00AC20C1">
        <w:rPr>
          <w:sz w:val="22"/>
          <w:szCs w:val="22"/>
        </w:rPr>
        <w:t xml:space="preserve"> you were reimbursed non-qualified moving expenses, then these expenses represent taxable earnings during the calendar year in which paid.  (amount shown in box 14 code T)</w:t>
      </w:r>
    </w:p>
    <w:p w14:paraId="65226805" w14:textId="77777777" w:rsidR="00AC20C1" w:rsidRPr="00AC20C1" w:rsidRDefault="00AC20C1" w:rsidP="00AC20C1">
      <w:pPr>
        <w:ind w:left="1440" w:right="720"/>
        <w:jc w:val="both"/>
        <w:rPr>
          <w:sz w:val="22"/>
          <w:szCs w:val="22"/>
        </w:rPr>
      </w:pPr>
      <w:r w:rsidRPr="00AC20C1">
        <w:rPr>
          <w:sz w:val="22"/>
          <w:szCs w:val="22"/>
        </w:rPr>
        <w:t xml:space="preserve"> </w:t>
      </w:r>
    </w:p>
    <w:p w14:paraId="73FD7954" w14:textId="77777777" w:rsidR="00AC20C1" w:rsidRPr="00492F9E" w:rsidRDefault="00AC20C1" w:rsidP="008B4576">
      <w:pPr>
        <w:ind w:right="720"/>
        <w:jc w:val="both"/>
        <w:rPr>
          <w:b/>
          <w:sz w:val="22"/>
          <w:szCs w:val="22"/>
        </w:rPr>
      </w:pPr>
      <w:r w:rsidRPr="00492F9E">
        <w:rPr>
          <w:b/>
          <w:sz w:val="22"/>
          <w:szCs w:val="22"/>
        </w:rPr>
        <w:t>Social Club Dues</w:t>
      </w:r>
    </w:p>
    <w:p w14:paraId="5E2492D6" w14:textId="6AA5D66E" w:rsidR="00AC20C1" w:rsidRPr="00AC20C1" w:rsidRDefault="00AC20C1" w:rsidP="008B4576">
      <w:pPr>
        <w:ind w:right="720"/>
        <w:jc w:val="both"/>
        <w:rPr>
          <w:sz w:val="22"/>
          <w:szCs w:val="22"/>
        </w:rPr>
      </w:pPr>
      <w:r w:rsidRPr="00AC20C1">
        <w:rPr>
          <w:sz w:val="22"/>
          <w:szCs w:val="22"/>
        </w:rPr>
        <w:t>If in 20</w:t>
      </w:r>
      <w:r w:rsidR="004C016A">
        <w:rPr>
          <w:sz w:val="22"/>
          <w:szCs w:val="22"/>
        </w:rPr>
        <w:t>20</w:t>
      </w:r>
      <w:r w:rsidRPr="00AC20C1">
        <w:rPr>
          <w:sz w:val="22"/>
          <w:szCs w:val="22"/>
        </w:rPr>
        <w:t xml:space="preserve"> club dues were paid for you by the University, then these dues are prorated to personal taxable income on the ratio of personal versus business use. (amount shown in box 14 code W)</w:t>
      </w:r>
    </w:p>
    <w:p w14:paraId="3C21F761" w14:textId="77777777" w:rsidR="00AC20C1" w:rsidRPr="00AC20C1" w:rsidRDefault="00AC20C1" w:rsidP="00AC20C1">
      <w:pPr>
        <w:ind w:left="1440" w:right="720"/>
        <w:jc w:val="both"/>
        <w:rPr>
          <w:sz w:val="22"/>
          <w:szCs w:val="22"/>
        </w:rPr>
      </w:pPr>
    </w:p>
    <w:p w14:paraId="7E1C23B2" w14:textId="77777777" w:rsidR="00AC20C1" w:rsidRPr="00492F9E" w:rsidRDefault="00AC20C1" w:rsidP="008B4576">
      <w:pPr>
        <w:ind w:right="720"/>
        <w:jc w:val="both"/>
        <w:rPr>
          <w:b/>
          <w:sz w:val="22"/>
          <w:szCs w:val="22"/>
        </w:rPr>
      </w:pPr>
      <w:r w:rsidRPr="00492F9E">
        <w:rPr>
          <w:b/>
          <w:sz w:val="22"/>
          <w:szCs w:val="22"/>
        </w:rPr>
        <w:t>Taxable Awards</w:t>
      </w:r>
    </w:p>
    <w:p w14:paraId="18924D3E" w14:textId="388B804C" w:rsidR="00AC20C1" w:rsidRPr="00AC20C1" w:rsidRDefault="00AC20C1" w:rsidP="008B4576">
      <w:pPr>
        <w:ind w:right="720"/>
        <w:jc w:val="both"/>
        <w:rPr>
          <w:sz w:val="22"/>
          <w:szCs w:val="22"/>
        </w:rPr>
      </w:pPr>
      <w:r w:rsidRPr="00AC20C1">
        <w:rPr>
          <w:sz w:val="22"/>
          <w:szCs w:val="22"/>
        </w:rPr>
        <w:t>If in 20</w:t>
      </w:r>
      <w:r w:rsidR="004C016A">
        <w:rPr>
          <w:sz w:val="22"/>
          <w:szCs w:val="22"/>
        </w:rPr>
        <w:t>20</w:t>
      </w:r>
      <w:r w:rsidRPr="00AC20C1">
        <w:rPr>
          <w:sz w:val="22"/>
          <w:szCs w:val="22"/>
        </w:rPr>
        <w:t xml:space="preserve"> you received a taxable award, Section 74 of the Internal Revenue Code requires awards to be included in gross income.  (amount shown in box 14 code X)</w:t>
      </w:r>
    </w:p>
    <w:p w14:paraId="3FA9F474" w14:textId="77777777" w:rsidR="00AC20C1" w:rsidRPr="00AC20C1" w:rsidRDefault="00AC20C1" w:rsidP="00AC20C1">
      <w:pPr>
        <w:ind w:left="1440" w:right="720"/>
        <w:jc w:val="both"/>
        <w:rPr>
          <w:sz w:val="22"/>
          <w:szCs w:val="22"/>
        </w:rPr>
      </w:pPr>
    </w:p>
    <w:p w14:paraId="7613D111" w14:textId="77777777" w:rsidR="00AC20C1" w:rsidRPr="00492F9E" w:rsidRDefault="00AC20C1" w:rsidP="008B4576">
      <w:pPr>
        <w:ind w:right="720"/>
        <w:jc w:val="both"/>
        <w:rPr>
          <w:b/>
          <w:sz w:val="22"/>
          <w:szCs w:val="22"/>
        </w:rPr>
      </w:pPr>
      <w:r w:rsidRPr="00492F9E">
        <w:rPr>
          <w:b/>
          <w:sz w:val="22"/>
          <w:szCs w:val="22"/>
        </w:rPr>
        <w:t>Meal Card</w:t>
      </w:r>
    </w:p>
    <w:p w14:paraId="71486B97" w14:textId="000E3467" w:rsidR="00AC20C1" w:rsidRPr="00AC20C1" w:rsidRDefault="00AC20C1" w:rsidP="008B4576">
      <w:pPr>
        <w:ind w:right="720"/>
        <w:jc w:val="both"/>
        <w:rPr>
          <w:sz w:val="22"/>
          <w:szCs w:val="22"/>
        </w:rPr>
      </w:pPr>
      <w:r w:rsidRPr="00AC20C1">
        <w:rPr>
          <w:sz w:val="22"/>
          <w:szCs w:val="22"/>
        </w:rPr>
        <w:t>If in 20</w:t>
      </w:r>
      <w:r w:rsidR="004C016A">
        <w:rPr>
          <w:sz w:val="22"/>
          <w:szCs w:val="22"/>
        </w:rPr>
        <w:t>20</w:t>
      </w:r>
      <w:r w:rsidRPr="00AC20C1">
        <w:rPr>
          <w:sz w:val="22"/>
          <w:szCs w:val="22"/>
        </w:rPr>
        <w:t xml:space="preserve"> you were given a meal card for additional compensation, then the amount on the meal card represents taxable earnings (amount shown in Box 14 code S).</w:t>
      </w:r>
    </w:p>
    <w:p w14:paraId="025467C9" w14:textId="77777777" w:rsidR="00AC20C1" w:rsidRPr="00AC20C1" w:rsidRDefault="00AC20C1" w:rsidP="00AC20C1">
      <w:pPr>
        <w:ind w:left="1440" w:right="720"/>
        <w:jc w:val="both"/>
        <w:rPr>
          <w:b/>
          <w:sz w:val="22"/>
          <w:szCs w:val="22"/>
        </w:rPr>
      </w:pPr>
    </w:p>
    <w:p w14:paraId="7B1E3B18" w14:textId="77777777" w:rsidR="00AC20C1" w:rsidRPr="00AC20C1" w:rsidRDefault="00AC20C1" w:rsidP="00AC20C1">
      <w:pPr>
        <w:ind w:left="1440" w:right="720"/>
        <w:jc w:val="both"/>
        <w:rPr>
          <w:b/>
          <w:sz w:val="22"/>
          <w:szCs w:val="22"/>
        </w:rPr>
      </w:pPr>
    </w:p>
    <w:p w14:paraId="51CE06F3" w14:textId="77777777" w:rsidR="001159D8" w:rsidRPr="00AC20C1" w:rsidRDefault="00AC20C1" w:rsidP="008B4576">
      <w:pPr>
        <w:ind w:right="720"/>
        <w:jc w:val="both"/>
        <w:rPr>
          <w:sz w:val="22"/>
          <w:szCs w:val="22"/>
        </w:rPr>
      </w:pPr>
      <w:r w:rsidRPr="00AC20C1">
        <w:rPr>
          <w:sz w:val="22"/>
          <w:szCs w:val="22"/>
        </w:rPr>
        <w:t xml:space="preserve">If you have any questions, please call the Controller’s office at ext. 6570.  Specific questions regarding life insurance cost over $50,000 should be addressed to the Benefits Office at ext. </w:t>
      </w:r>
      <w:r w:rsidR="00B92240">
        <w:rPr>
          <w:sz w:val="22"/>
          <w:szCs w:val="22"/>
        </w:rPr>
        <w:t>7090</w:t>
      </w:r>
      <w:r w:rsidRPr="00AC20C1">
        <w:rPr>
          <w:sz w:val="22"/>
          <w:szCs w:val="22"/>
        </w:rPr>
        <w:t xml:space="preserve">.     </w:t>
      </w:r>
    </w:p>
    <w:sectPr w:rsidR="001159D8" w:rsidRPr="00AC20C1" w:rsidSect="008B4576">
      <w:footerReference w:type="even" r:id="rId7"/>
      <w:headerReference w:type="first" r:id="rId8"/>
      <w:footerReference w:type="first" r:id="rId9"/>
      <w:endnotePr>
        <w:numFmt w:val="decimal"/>
      </w:endnotePr>
      <w:pgSz w:w="12240" w:h="15840" w:code="1"/>
      <w:pgMar w:top="576" w:right="432" w:bottom="288" w:left="432" w:header="576"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5283" w14:textId="77777777" w:rsidR="00C64298" w:rsidRDefault="00C64298">
      <w:r>
        <w:separator/>
      </w:r>
    </w:p>
  </w:endnote>
  <w:endnote w:type="continuationSeparator" w:id="0">
    <w:p w14:paraId="0800E320" w14:textId="77777777" w:rsidR="00C64298" w:rsidRDefault="00C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5559" w14:textId="77777777" w:rsidR="004E2020" w:rsidRDefault="004E2020" w:rsidP="000338A4">
    <w:pPr>
      <w:pStyle w:val="Footer"/>
    </w:pPr>
    <w:r>
      <w:rPr>
        <w:rFonts w:ascii="Arial" w:hAnsi="Arial" w:cs="Arial"/>
        <w:sz w:val="12"/>
      </w:rPr>
      <w:t>H:\shared\word\Year End\2005\2005 YE.doc</w:t>
    </w:r>
  </w:p>
  <w:p w14:paraId="3AA51003" w14:textId="77777777" w:rsidR="004E2020" w:rsidRDefault="004E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B214" w14:textId="77777777" w:rsidR="00476CC2" w:rsidRDefault="00476CC2" w:rsidP="00036585">
    <w:pPr>
      <w:ind w:left="720"/>
      <w:jc w:val="center"/>
      <w:rPr>
        <w:b/>
        <w:bCs/>
        <w:szCs w:val="24"/>
      </w:rPr>
    </w:pPr>
  </w:p>
  <w:p w14:paraId="67CF9190" w14:textId="77777777" w:rsidR="00476CC2" w:rsidRPr="004469E1" w:rsidRDefault="00476CC2" w:rsidP="00476CC2">
    <w:pPr>
      <w:widowControl/>
      <w:tabs>
        <w:tab w:val="center" w:pos="4320"/>
        <w:tab w:val="right" w:pos="8640"/>
      </w:tabs>
      <w:jc w:val="center"/>
      <w:rPr>
        <w:b/>
        <w:snapToGrid/>
        <w:color w:val="365F91" w:themeColor="accent1" w:themeShade="BF"/>
        <w:sz w:val="20"/>
      </w:rPr>
    </w:pPr>
    <w:r w:rsidRPr="004469E1">
      <w:rPr>
        <w:b/>
        <w:snapToGrid/>
        <w:color w:val="365F91" w:themeColor="accent1" w:themeShade="BF"/>
        <w:sz w:val="20"/>
      </w:rPr>
      <w:t>Payroll Office</w:t>
    </w:r>
  </w:p>
  <w:p w14:paraId="21103B86" w14:textId="77777777" w:rsidR="00476CC2" w:rsidRPr="004469E1" w:rsidRDefault="00476CC2" w:rsidP="00476CC2">
    <w:pPr>
      <w:widowControl/>
      <w:tabs>
        <w:tab w:val="center" w:pos="4320"/>
        <w:tab w:val="right" w:pos="8640"/>
      </w:tabs>
      <w:jc w:val="center"/>
      <w:rPr>
        <w:snapToGrid/>
        <w:color w:val="365F91" w:themeColor="accent1" w:themeShade="BF"/>
        <w:sz w:val="16"/>
        <w:szCs w:val="16"/>
      </w:rPr>
    </w:pPr>
    <w:r w:rsidRPr="004469E1">
      <w:rPr>
        <w:snapToGrid/>
        <w:color w:val="365F91" w:themeColor="accent1" w:themeShade="BF"/>
        <w:sz w:val="16"/>
        <w:szCs w:val="16"/>
      </w:rPr>
      <w:t>Akron, OH 44325-6210</w:t>
    </w:r>
  </w:p>
  <w:p w14:paraId="06C840FA" w14:textId="77777777" w:rsidR="00476CC2" w:rsidRPr="004469E1" w:rsidRDefault="00476CC2" w:rsidP="00476CC2">
    <w:pPr>
      <w:widowControl/>
      <w:tabs>
        <w:tab w:val="center" w:pos="4320"/>
        <w:tab w:val="right" w:pos="8640"/>
      </w:tabs>
      <w:jc w:val="center"/>
      <w:rPr>
        <w:snapToGrid/>
        <w:color w:val="365F91" w:themeColor="accent1" w:themeShade="BF"/>
        <w:sz w:val="18"/>
        <w:szCs w:val="18"/>
      </w:rPr>
    </w:pPr>
    <w:r w:rsidRPr="004469E1">
      <w:rPr>
        <w:snapToGrid/>
        <w:color w:val="365F91" w:themeColor="accent1" w:themeShade="BF"/>
        <w:sz w:val="16"/>
        <w:szCs w:val="16"/>
      </w:rPr>
      <w:t>330-972-7205 ∙ 330-972-6775 Fax</w:t>
    </w:r>
  </w:p>
  <w:p w14:paraId="4B715A43" w14:textId="77777777" w:rsidR="00476CC2" w:rsidRPr="004469E1" w:rsidRDefault="00476CC2" w:rsidP="00476CC2">
    <w:pPr>
      <w:widowControl/>
      <w:tabs>
        <w:tab w:val="center" w:pos="4320"/>
        <w:tab w:val="right" w:pos="8640"/>
      </w:tabs>
      <w:jc w:val="center"/>
      <w:rPr>
        <w:snapToGrid/>
        <w:color w:val="365F91" w:themeColor="accent1" w:themeShade="BF"/>
        <w:sz w:val="16"/>
        <w:szCs w:val="24"/>
      </w:rPr>
    </w:pPr>
  </w:p>
  <w:p w14:paraId="56A092F5" w14:textId="77777777" w:rsidR="00476CC2" w:rsidRPr="004469E1" w:rsidRDefault="00476CC2" w:rsidP="00476CC2">
    <w:pPr>
      <w:widowControl/>
      <w:tabs>
        <w:tab w:val="center" w:pos="4320"/>
        <w:tab w:val="right" w:pos="8640"/>
      </w:tabs>
      <w:jc w:val="center"/>
      <w:rPr>
        <w:snapToGrid/>
        <w:color w:val="365F91" w:themeColor="accent1" w:themeShade="BF"/>
        <w:sz w:val="14"/>
        <w:szCs w:val="24"/>
      </w:rPr>
    </w:pPr>
    <w:r w:rsidRPr="004469E1">
      <w:rPr>
        <w:snapToGrid/>
        <w:color w:val="365F91" w:themeColor="accent1" w:themeShade="BF"/>
        <w:sz w:val="14"/>
        <w:szCs w:val="24"/>
      </w:rPr>
      <w:t>The University of Akron is an Equal Education and Employment Institution</w:t>
    </w:r>
  </w:p>
  <w:p w14:paraId="693299F1" w14:textId="77777777" w:rsidR="00476CC2" w:rsidRPr="004B093B" w:rsidRDefault="00476CC2" w:rsidP="00036585">
    <w:pPr>
      <w:ind w:left="720"/>
      <w:jc w:val="center"/>
      <w:rPr>
        <w:szCs w:val="24"/>
      </w:rPr>
    </w:pPr>
  </w:p>
  <w:p w14:paraId="5548A3B1" w14:textId="77777777" w:rsidR="004E2020" w:rsidRDefault="004E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732A" w14:textId="77777777" w:rsidR="00C64298" w:rsidRDefault="00C64298">
      <w:r>
        <w:separator/>
      </w:r>
    </w:p>
  </w:footnote>
  <w:footnote w:type="continuationSeparator" w:id="0">
    <w:p w14:paraId="7EBF16E5" w14:textId="77777777" w:rsidR="00C64298" w:rsidRDefault="00C6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AB2E" w14:textId="77777777" w:rsidR="004E2020" w:rsidRPr="002C5990" w:rsidRDefault="008B4576" w:rsidP="002C5990">
    <w:pPr>
      <w:pStyle w:val="Header"/>
      <w:rPr>
        <w:rFonts w:ascii="Univers" w:hAnsi="Univers"/>
      </w:rPr>
    </w:pPr>
    <w:r>
      <w:rPr>
        <w:noProof/>
        <w:snapToGrid/>
      </w:rPr>
      <mc:AlternateContent>
        <mc:Choice Requires="wps">
          <w:drawing>
            <wp:anchor distT="0" distB="0" distL="114300" distR="114300" simplePos="0" relativeHeight="251659264" behindDoc="0" locked="0" layoutInCell="1" allowOverlap="1" wp14:anchorId="1667889E" wp14:editId="1CF0CC19">
              <wp:simplePos x="0" y="0"/>
              <wp:positionH relativeFrom="column">
                <wp:posOffset>1916430</wp:posOffset>
              </wp:positionH>
              <wp:positionV relativeFrom="paragraph">
                <wp:posOffset>72390</wp:posOffset>
              </wp:positionV>
              <wp:extent cx="3533775" cy="628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337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1A0B2" w14:textId="77777777" w:rsidR="008B4576" w:rsidRPr="008B4576" w:rsidRDefault="008B4576" w:rsidP="008B4576">
                          <w:pPr>
                            <w:jc w:val="center"/>
                            <w:rPr>
                              <w:b/>
                            </w:rPr>
                          </w:pPr>
                          <w:r w:rsidRPr="008B4576">
                            <w:rPr>
                              <w:b/>
                            </w:rPr>
                            <w:t>Taxable Cash and Non-cash Fringe Benefits</w:t>
                          </w:r>
                        </w:p>
                        <w:p w14:paraId="4ABE9A70" w14:textId="77777777" w:rsidR="008B4576" w:rsidRDefault="008B4576" w:rsidP="008B4576">
                          <w:pPr>
                            <w:jc w:val="center"/>
                            <w:rPr>
                              <w:b/>
                            </w:rPr>
                          </w:pPr>
                        </w:p>
                        <w:p w14:paraId="0D37A95C" w14:textId="5438380A" w:rsidR="008B4576" w:rsidRPr="008B4576" w:rsidRDefault="008B4576" w:rsidP="008B4576">
                          <w:pPr>
                            <w:jc w:val="center"/>
                            <w:rPr>
                              <w:b/>
                            </w:rPr>
                          </w:pPr>
                          <w:r w:rsidRPr="008B4576">
                            <w:rPr>
                              <w:b/>
                            </w:rPr>
                            <w:t>20</w:t>
                          </w:r>
                          <w:r w:rsidR="004C016A">
                            <w:rPr>
                              <w: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67889E" id="_x0000_t202" coordsize="21600,21600" o:spt="202" path="m,l,21600r21600,l21600,xe">
              <v:stroke joinstyle="miter"/>
              <v:path gradientshapeok="t" o:connecttype="rect"/>
            </v:shapetype>
            <v:shape id="Text Box 1" o:spid="_x0000_s1026" type="#_x0000_t202" style="position:absolute;margin-left:150.9pt;margin-top:5.7pt;width:278.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" fillcolor="white [3201]" stroked="f" strokeweight=".5pt">
              <v:textbox>
                <w:txbxContent>
                  <w:p w14:paraId="2241A0B2" w14:textId="77777777" w:rsidR="008B4576" w:rsidRPr="008B4576" w:rsidRDefault="008B4576" w:rsidP="008B4576">
                    <w:pPr>
                      <w:jc w:val="center"/>
                      <w:rPr>
                        <w:b/>
                      </w:rPr>
                    </w:pPr>
                    <w:r w:rsidRPr="008B4576">
                      <w:rPr>
                        <w:b/>
                      </w:rPr>
                      <w:t>Taxable Cash and Non-cash Fringe Benefits</w:t>
                    </w:r>
                  </w:p>
                  <w:p w14:paraId="4ABE9A70" w14:textId="77777777" w:rsidR="008B4576" w:rsidRDefault="008B4576" w:rsidP="008B4576">
                    <w:pPr>
                      <w:jc w:val="center"/>
                      <w:rPr>
                        <w:b/>
                      </w:rPr>
                    </w:pPr>
                  </w:p>
                  <w:p w14:paraId="0D37A95C" w14:textId="5438380A" w:rsidR="008B4576" w:rsidRPr="008B4576" w:rsidRDefault="008B4576" w:rsidP="008B4576">
                    <w:pPr>
                      <w:jc w:val="center"/>
                      <w:rPr>
                        <w:b/>
                      </w:rPr>
                    </w:pPr>
                    <w:r w:rsidRPr="008B4576">
                      <w:rPr>
                        <w:b/>
                      </w:rPr>
                      <w:t>20</w:t>
                    </w:r>
                    <w:r w:rsidR="004C016A">
                      <w:rPr>
                        <w:b/>
                      </w:rPr>
                      <w:t>20</w:t>
                    </w:r>
                  </w:p>
                </w:txbxContent>
              </v:textbox>
            </v:shape>
          </w:pict>
        </mc:Fallback>
      </mc:AlternateContent>
    </w:r>
    <w:r w:rsidR="00096321">
      <w:rPr>
        <w:noProof/>
      </w:rPr>
      <w:drawing>
        <wp:inline distT="0" distB="0" distL="0" distR="0" wp14:anchorId="5CD2A57C" wp14:editId="18236E0D">
          <wp:extent cx="1331992" cy="923925"/>
          <wp:effectExtent l="0" t="0" r="1905" b="0"/>
          <wp:docPr id="2" name="Picture 2" descr="UA Word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 Wordswoo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309" cy="925532"/>
                  </a:xfrm>
                  <a:prstGeom prst="rect">
                    <a:avLst/>
                  </a:prstGeom>
                  <a:noFill/>
                  <a:ln>
                    <a:noFill/>
                  </a:ln>
                </pic:spPr>
              </pic:pic>
            </a:graphicData>
          </a:graphic>
        </wp:inline>
      </w:drawing>
    </w:r>
    <w:r w:rsidR="004E2020">
      <w:rPr>
        <w:b/>
        <w:sz w:val="20"/>
      </w:rPr>
      <w:t xml:space="preserve"> </w:t>
    </w:r>
    <w:r w:rsidR="004E2020">
      <w:rPr>
        <w:b/>
        <w:sz w:val="20"/>
      </w:rPr>
      <w:tab/>
      <w:t xml:space="preserve">         </w:t>
    </w:r>
  </w:p>
  <w:p w14:paraId="7DD2E15E" w14:textId="77777777" w:rsidR="004E2020" w:rsidRDefault="004E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455"/>
    <w:multiLevelType w:val="hybridMultilevel"/>
    <w:tmpl w:val="C9820076"/>
    <w:lvl w:ilvl="0" w:tplc="10D88F7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AC2506"/>
    <w:multiLevelType w:val="hybridMultilevel"/>
    <w:tmpl w:val="893E9AAC"/>
    <w:lvl w:ilvl="0" w:tplc="10D88F78">
      <w:start w:val="1"/>
      <w:numFmt w:val="decimal"/>
      <w:lvlText w:val="%1."/>
      <w:lvlJc w:val="left"/>
      <w:pPr>
        <w:ind w:left="252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BB5FE7"/>
    <w:multiLevelType w:val="hybridMultilevel"/>
    <w:tmpl w:val="F48E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385"/>
    <w:multiLevelType w:val="hybridMultilevel"/>
    <w:tmpl w:val="9F92402C"/>
    <w:lvl w:ilvl="0" w:tplc="92D0A7C0">
      <w:start w:val="1"/>
      <w:numFmt w:val="bullet"/>
      <w:pStyle w:val="Style1"/>
      <w:lvlText w:val=""/>
      <w:lvlJc w:val="left"/>
      <w:pPr>
        <w:tabs>
          <w:tab w:val="num" w:pos="504"/>
        </w:tabs>
        <w:ind w:left="504" w:hanging="504"/>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B">
      <w:start w:val="1"/>
      <w:numFmt w:val="bullet"/>
      <w:lvlText w:val=""/>
      <w:lvlJc w:val="left"/>
      <w:pPr>
        <w:tabs>
          <w:tab w:val="num" w:pos="1440"/>
        </w:tabs>
        <w:ind w:left="1440" w:hanging="360"/>
      </w:pPr>
      <w:rPr>
        <w:rFonts w:ascii="Wingdings" w:hAnsi="Wingdings"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0960C29"/>
    <w:multiLevelType w:val="hybridMultilevel"/>
    <w:tmpl w:val="5CC0A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FA5347"/>
    <w:multiLevelType w:val="hybridMultilevel"/>
    <w:tmpl w:val="03CA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6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2F7E8B"/>
    <w:multiLevelType w:val="hybridMultilevel"/>
    <w:tmpl w:val="C16A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795B"/>
    <w:multiLevelType w:val="hybridMultilevel"/>
    <w:tmpl w:val="C4C4205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1160944"/>
    <w:multiLevelType w:val="hybridMultilevel"/>
    <w:tmpl w:val="8B8027DC"/>
    <w:lvl w:ilvl="0" w:tplc="92A0A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177F96"/>
    <w:multiLevelType w:val="hybridMultilevel"/>
    <w:tmpl w:val="022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B7AAE"/>
    <w:multiLevelType w:val="hybridMultilevel"/>
    <w:tmpl w:val="93DAB7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81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C74B2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5E6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7727C5"/>
    <w:multiLevelType w:val="hybridMultilevel"/>
    <w:tmpl w:val="63D8B214"/>
    <w:lvl w:ilvl="0" w:tplc="10D88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0A3A4A"/>
    <w:multiLevelType w:val="hybridMultilevel"/>
    <w:tmpl w:val="BB7C0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0F7CCB"/>
    <w:multiLevelType w:val="hybridMultilevel"/>
    <w:tmpl w:val="70FCE6A8"/>
    <w:lvl w:ilvl="0" w:tplc="10D88F78">
      <w:start w:val="1"/>
      <w:numFmt w:val="decimal"/>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2215DF0"/>
    <w:multiLevelType w:val="hybridMultilevel"/>
    <w:tmpl w:val="2884C2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825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9"/>
  </w:num>
  <w:num w:numId="3">
    <w:abstractNumId w:val="12"/>
  </w:num>
  <w:num w:numId="4">
    <w:abstractNumId w:val="14"/>
  </w:num>
  <w:num w:numId="5">
    <w:abstractNumId w:val="6"/>
  </w:num>
  <w:num w:numId="6">
    <w:abstractNumId w:val="11"/>
  </w:num>
  <w:num w:numId="7">
    <w:abstractNumId w:val="3"/>
  </w:num>
  <w:num w:numId="8">
    <w:abstractNumId w:val="5"/>
  </w:num>
  <w:num w:numId="9">
    <w:abstractNumId w:val="2"/>
  </w:num>
  <w:num w:numId="10">
    <w:abstractNumId w:val="10"/>
  </w:num>
  <w:num w:numId="11">
    <w:abstractNumId w:val="8"/>
  </w:num>
  <w:num w:numId="12">
    <w:abstractNumId w:val="16"/>
  </w:num>
  <w:num w:numId="13">
    <w:abstractNumId w:val="9"/>
  </w:num>
  <w:num w:numId="14">
    <w:abstractNumId w:val="15"/>
  </w:num>
  <w:num w:numId="15">
    <w:abstractNumId w:val="0"/>
  </w:num>
  <w:num w:numId="16">
    <w:abstractNumId w:val="17"/>
  </w:num>
  <w:num w:numId="17">
    <w:abstractNumId w:val="1"/>
  </w:num>
  <w:num w:numId="18">
    <w:abstractNumId w:val="18"/>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7"/>
    <w:rsid w:val="00016ACD"/>
    <w:rsid w:val="000207FE"/>
    <w:rsid w:val="00030182"/>
    <w:rsid w:val="00031068"/>
    <w:rsid w:val="00031CC1"/>
    <w:rsid w:val="00033859"/>
    <w:rsid w:val="000338A4"/>
    <w:rsid w:val="00036585"/>
    <w:rsid w:val="00037F88"/>
    <w:rsid w:val="00041FC6"/>
    <w:rsid w:val="00082279"/>
    <w:rsid w:val="00096321"/>
    <w:rsid w:val="000A2E02"/>
    <w:rsid w:val="000B06F0"/>
    <w:rsid w:val="000B322B"/>
    <w:rsid w:val="000C71D1"/>
    <w:rsid w:val="000D4A29"/>
    <w:rsid w:val="000D7E0E"/>
    <w:rsid w:val="001152B1"/>
    <w:rsid w:val="001159D8"/>
    <w:rsid w:val="00133D87"/>
    <w:rsid w:val="0014323D"/>
    <w:rsid w:val="001717FB"/>
    <w:rsid w:val="001719BF"/>
    <w:rsid w:val="001C221A"/>
    <w:rsid w:val="001E071D"/>
    <w:rsid w:val="00202EA9"/>
    <w:rsid w:val="00212BB3"/>
    <w:rsid w:val="00261D0B"/>
    <w:rsid w:val="00265DEA"/>
    <w:rsid w:val="00276A53"/>
    <w:rsid w:val="002C5990"/>
    <w:rsid w:val="002D3F31"/>
    <w:rsid w:val="002F0D9A"/>
    <w:rsid w:val="003006AC"/>
    <w:rsid w:val="00314365"/>
    <w:rsid w:val="003573A2"/>
    <w:rsid w:val="003721FF"/>
    <w:rsid w:val="00375DB4"/>
    <w:rsid w:val="003816AD"/>
    <w:rsid w:val="003D6071"/>
    <w:rsid w:val="00411114"/>
    <w:rsid w:val="00434A62"/>
    <w:rsid w:val="004417CF"/>
    <w:rsid w:val="0044580B"/>
    <w:rsid w:val="0044641C"/>
    <w:rsid w:val="004469E1"/>
    <w:rsid w:val="00460BD9"/>
    <w:rsid w:val="00464610"/>
    <w:rsid w:val="00473343"/>
    <w:rsid w:val="00474491"/>
    <w:rsid w:val="00476CC2"/>
    <w:rsid w:val="00483EDA"/>
    <w:rsid w:val="00492F9E"/>
    <w:rsid w:val="004A098B"/>
    <w:rsid w:val="004A56FD"/>
    <w:rsid w:val="004B093B"/>
    <w:rsid w:val="004C016A"/>
    <w:rsid w:val="004E0D35"/>
    <w:rsid w:val="004E2020"/>
    <w:rsid w:val="004E2CDF"/>
    <w:rsid w:val="004E6BB9"/>
    <w:rsid w:val="004F2520"/>
    <w:rsid w:val="00506076"/>
    <w:rsid w:val="00547207"/>
    <w:rsid w:val="0059030B"/>
    <w:rsid w:val="0059421D"/>
    <w:rsid w:val="005B5815"/>
    <w:rsid w:val="005B6E0D"/>
    <w:rsid w:val="005B7692"/>
    <w:rsid w:val="005D3142"/>
    <w:rsid w:val="005E5C85"/>
    <w:rsid w:val="005F3DEA"/>
    <w:rsid w:val="0060653E"/>
    <w:rsid w:val="00624AED"/>
    <w:rsid w:val="0063205B"/>
    <w:rsid w:val="00641B5C"/>
    <w:rsid w:val="00656DB5"/>
    <w:rsid w:val="00667BC5"/>
    <w:rsid w:val="006717DA"/>
    <w:rsid w:val="00695977"/>
    <w:rsid w:val="006C2FD1"/>
    <w:rsid w:val="006C610A"/>
    <w:rsid w:val="006E7925"/>
    <w:rsid w:val="00703068"/>
    <w:rsid w:val="00716166"/>
    <w:rsid w:val="00720C27"/>
    <w:rsid w:val="00730C06"/>
    <w:rsid w:val="00733ED8"/>
    <w:rsid w:val="00734430"/>
    <w:rsid w:val="00767E5E"/>
    <w:rsid w:val="00772047"/>
    <w:rsid w:val="0078412B"/>
    <w:rsid w:val="00784C8A"/>
    <w:rsid w:val="00785E29"/>
    <w:rsid w:val="007D36BA"/>
    <w:rsid w:val="007D4ED1"/>
    <w:rsid w:val="007F7545"/>
    <w:rsid w:val="007F78BD"/>
    <w:rsid w:val="00804716"/>
    <w:rsid w:val="00814605"/>
    <w:rsid w:val="008506E3"/>
    <w:rsid w:val="00853703"/>
    <w:rsid w:val="00857030"/>
    <w:rsid w:val="008849BA"/>
    <w:rsid w:val="008A60BC"/>
    <w:rsid w:val="008B4576"/>
    <w:rsid w:val="008C7E04"/>
    <w:rsid w:val="008F0D4D"/>
    <w:rsid w:val="00904E5B"/>
    <w:rsid w:val="00924971"/>
    <w:rsid w:val="009279F9"/>
    <w:rsid w:val="00930F4F"/>
    <w:rsid w:val="0095181B"/>
    <w:rsid w:val="00956285"/>
    <w:rsid w:val="00970AC4"/>
    <w:rsid w:val="00986561"/>
    <w:rsid w:val="00990894"/>
    <w:rsid w:val="009A2B5E"/>
    <w:rsid w:val="009B2795"/>
    <w:rsid w:val="009C2D17"/>
    <w:rsid w:val="009D0F59"/>
    <w:rsid w:val="009E1A31"/>
    <w:rsid w:val="009E78BC"/>
    <w:rsid w:val="009F6B31"/>
    <w:rsid w:val="009F735D"/>
    <w:rsid w:val="00A300D2"/>
    <w:rsid w:val="00A359A9"/>
    <w:rsid w:val="00A7573D"/>
    <w:rsid w:val="00A75AA9"/>
    <w:rsid w:val="00A83A33"/>
    <w:rsid w:val="00A9173F"/>
    <w:rsid w:val="00AA3C70"/>
    <w:rsid w:val="00AB09E2"/>
    <w:rsid w:val="00AB0BF1"/>
    <w:rsid w:val="00AB26CD"/>
    <w:rsid w:val="00AB7AEC"/>
    <w:rsid w:val="00AB7DF9"/>
    <w:rsid w:val="00AC20C1"/>
    <w:rsid w:val="00AC5B16"/>
    <w:rsid w:val="00B3181C"/>
    <w:rsid w:val="00B32738"/>
    <w:rsid w:val="00B3507A"/>
    <w:rsid w:val="00B35F94"/>
    <w:rsid w:val="00B63ECC"/>
    <w:rsid w:val="00B81C6A"/>
    <w:rsid w:val="00B87744"/>
    <w:rsid w:val="00B913FF"/>
    <w:rsid w:val="00B92240"/>
    <w:rsid w:val="00B92C54"/>
    <w:rsid w:val="00B94CAB"/>
    <w:rsid w:val="00B95F2C"/>
    <w:rsid w:val="00BB5EC8"/>
    <w:rsid w:val="00BC017D"/>
    <w:rsid w:val="00BF0715"/>
    <w:rsid w:val="00C364B4"/>
    <w:rsid w:val="00C46ED3"/>
    <w:rsid w:val="00C613B9"/>
    <w:rsid w:val="00C64298"/>
    <w:rsid w:val="00C6475A"/>
    <w:rsid w:val="00C70CE9"/>
    <w:rsid w:val="00C72B17"/>
    <w:rsid w:val="00C76C67"/>
    <w:rsid w:val="00C904AE"/>
    <w:rsid w:val="00C97256"/>
    <w:rsid w:val="00CB50B6"/>
    <w:rsid w:val="00CC15FF"/>
    <w:rsid w:val="00D14389"/>
    <w:rsid w:val="00D52CD4"/>
    <w:rsid w:val="00D62B8B"/>
    <w:rsid w:val="00D855C7"/>
    <w:rsid w:val="00DB61C0"/>
    <w:rsid w:val="00DC6A2F"/>
    <w:rsid w:val="00DF4F5D"/>
    <w:rsid w:val="00E03A38"/>
    <w:rsid w:val="00E07991"/>
    <w:rsid w:val="00E16DC5"/>
    <w:rsid w:val="00E75623"/>
    <w:rsid w:val="00E963E5"/>
    <w:rsid w:val="00EB07F7"/>
    <w:rsid w:val="00EC7EE4"/>
    <w:rsid w:val="00ED59BD"/>
    <w:rsid w:val="00EF0FB5"/>
    <w:rsid w:val="00F362F4"/>
    <w:rsid w:val="00F52DA4"/>
    <w:rsid w:val="00F55105"/>
    <w:rsid w:val="00F92788"/>
    <w:rsid w:val="00FC5A1A"/>
    <w:rsid w:val="00FD2F6D"/>
    <w:rsid w:val="00FE6018"/>
    <w:rsid w:val="00F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80C2A4"/>
  <w15:docId w15:val="{3017B7F4-C4C2-47E7-BBB6-D0164238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C70"/>
    <w:pPr>
      <w:widowControl w:val="0"/>
    </w:pPr>
    <w:rPr>
      <w:snapToGrid w:val="0"/>
      <w:sz w:val="24"/>
    </w:rPr>
  </w:style>
  <w:style w:type="paragraph" w:styleId="Heading1">
    <w:name w:val="heading 1"/>
    <w:basedOn w:val="Normal"/>
    <w:next w:val="Normal"/>
    <w:qFormat/>
    <w:rsid w:val="00AA3C70"/>
    <w:pPr>
      <w:keepNext/>
      <w:widowControl/>
      <w:ind w:left="2880" w:firstLine="720"/>
      <w:jc w:val="center"/>
      <w:outlineLvl w:val="0"/>
    </w:pPr>
    <w:rPr>
      <w:rFonts w:ascii="Albertus" w:hAnsi="Albertus"/>
      <w:sz w:val="36"/>
    </w:rPr>
  </w:style>
  <w:style w:type="paragraph" w:styleId="Heading2">
    <w:name w:val="heading 2"/>
    <w:basedOn w:val="Normal"/>
    <w:next w:val="Normal"/>
    <w:qFormat/>
    <w:rsid w:val="00AA3C70"/>
    <w:pPr>
      <w:keepNext/>
      <w:ind w:left="1440" w:firstLine="720"/>
      <w:outlineLvl w:val="1"/>
    </w:pPr>
    <w:rPr>
      <w:b/>
      <w:sz w:val="20"/>
    </w:rPr>
  </w:style>
  <w:style w:type="paragraph" w:styleId="Heading3">
    <w:name w:val="heading 3"/>
    <w:basedOn w:val="Normal"/>
    <w:next w:val="Normal"/>
    <w:qFormat/>
    <w:rsid w:val="00AA3C70"/>
    <w:pPr>
      <w:keepNext/>
      <w:ind w:left="1440" w:firstLine="720"/>
      <w:outlineLvl w:val="2"/>
    </w:pPr>
    <w:rPr>
      <w:b/>
      <w:sz w:val="28"/>
    </w:rPr>
  </w:style>
  <w:style w:type="paragraph" w:styleId="Heading4">
    <w:name w:val="heading 4"/>
    <w:basedOn w:val="Normal"/>
    <w:next w:val="Normal"/>
    <w:qFormat/>
    <w:rsid w:val="00AA3C70"/>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3C70"/>
  </w:style>
  <w:style w:type="paragraph" w:styleId="Header">
    <w:name w:val="header"/>
    <w:basedOn w:val="Normal"/>
    <w:rsid w:val="00AA3C70"/>
    <w:pPr>
      <w:tabs>
        <w:tab w:val="center" w:pos="4320"/>
        <w:tab w:val="right" w:pos="8640"/>
      </w:tabs>
    </w:pPr>
  </w:style>
  <w:style w:type="paragraph" w:styleId="Footer">
    <w:name w:val="footer"/>
    <w:basedOn w:val="Normal"/>
    <w:rsid w:val="00AA3C70"/>
    <w:pPr>
      <w:tabs>
        <w:tab w:val="center" w:pos="4320"/>
        <w:tab w:val="right" w:pos="8640"/>
      </w:tabs>
    </w:pPr>
  </w:style>
  <w:style w:type="paragraph" w:styleId="DocumentMap">
    <w:name w:val="Document Map"/>
    <w:basedOn w:val="Normal"/>
    <w:semiHidden/>
    <w:rsid w:val="00AA3C70"/>
    <w:pPr>
      <w:shd w:val="clear" w:color="auto" w:fill="000080"/>
    </w:pPr>
    <w:rPr>
      <w:rFonts w:ascii="Tahoma" w:hAnsi="Tahoma"/>
    </w:rPr>
  </w:style>
  <w:style w:type="paragraph" w:styleId="BodyText">
    <w:name w:val="Body Text"/>
    <w:basedOn w:val="Normal"/>
    <w:rsid w:val="00AA3C70"/>
    <w:pPr>
      <w:outlineLvl w:val="0"/>
    </w:pPr>
    <w:rPr>
      <w:sz w:val="20"/>
    </w:rPr>
  </w:style>
  <w:style w:type="paragraph" w:styleId="BodyText2">
    <w:name w:val="Body Text 2"/>
    <w:basedOn w:val="Normal"/>
    <w:rsid w:val="00AA3C70"/>
    <w:pPr>
      <w:widowControl/>
      <w:outlineLvl w:val="0"/>
    </w:pPr>
    <w:rPr>
      <w:b/>
      <w:snapToGrid/>
    </w:rPr>
  </w:style>
  <w:style w:type="character" w:styleId="Hyperlink">
    <w:name w:val="Hyperlink"/>
    <w:basedOn w:val="DefaultParagraphFont"/>
    <w:rsid w:val="00AA3C70"/>
    <w:rPr>
      <w:color w:val="0000FF"/>
      <w:u w:val="single"/>
    </w:rPr>
  </w:style>
  <w:style w:type="character" w:styleId="FollowedHyperlink">
    <w:name w:val="FollowedHyperlink"/>
    <w:basedOn w:val="DefaultParagraphFont"/>
    <w:rsid w:val="00990894"/>
    <w:rPr>
      <w:color w:val="800080"/>
      <w:u w:val="single"/>
    </w:rPr>
  </w:style>
  <w:style w:type="paragraph" w:styleId="ListParagraph">
    <w:name w:val="List Paragraph"/>
    <w:basedOn w:val="Normal"/>
    <w:uiPriority w:val="34"/>
    <w:qFormat/>
    <w:rsid w:val="004B093B"/>
    <w:pPr>
      <w:ind w:left="720"/>
    </w:pPr>
  </w:style>
  <w:style w:type="paragraph" w:customStyle="1" w:styleId="Style1">
    <w:name w:val="Style1"/>
    <w:basedOn w:val="Normal"/>
    <w:rsid w:val="00E07991"/>
    <w:pPr>
      <w:widowControl/>
      <w:numPr>
        <w:numId w:val="7"/>
      </w:numPr>
    </w:pPr>
    <w:rPr>
      <w:snapToGrid/>
      <w:szCs w:val="24"/>
    </w:rPr>
  </w:style>
  <w:style w:type="character" w:customStyle="1" w:styleId="body1">
    <w:name w:val="body1"/>
    <w:basedOn w:val="DefaultParagraphFont"/>
    <w:rsid w:val="00695977"/>
    <w:rPr>
      <w:rFonts w:ascii="Arial" w:hAnsi="Arial" w:cs="Arial" w:hint="default"/>
      <w:i w:val="0"/>
      <w:iCs w:val="0"/>
      <w:color w:val="666666"/>
      <w:sz w:val="18"/>
      <w:szCs w:val="18"/>
    </w:rPr>
  </w:style>
  <w:style w:type="paragraph" w:styleId="BalloonText">
    <w:name w:val="Balloon Text"/>
    <w:basedOn w:val="Normal"/>
    <w:link w:val="BalloonTextChar"/>
    <w:rsid w:val="009B2795"/>
    <w:rPr>
      <w:rFonts w:ascii="Tahoma" w:hAnsi="Tahoma" w:cs="Tahoma"/>
      <w:sz w:val="16"/>
      <w:szCs w:val="16"/>
    </w:rPr>
  </w:style>
  <w:style w:type="character" w:customStyle="1" w:styleId="BalloonTextChar">
    <w:name w:val="Balloon Text Char"/>
    <w:basedOn w:val="DefaultParagraphFont"/>
    <w:link w:val="BalloonText"/>
    <w:rsid w:val="009B2795"/>
    <w:rPr>
      <w:rFonts w:ascii="Tahoma" w:hAnsi="Tahoma" w:cs="Tahoma"/>
      <w:snapToGrid w:val="0"/>
      <w:sz w:val="16"/>
      <w:szCs w:val="16"/>
    </w:rPr>
  </w:style>
  <w:style w:type="table" w:styleId="TableGrid">
    <w:name w:val="Table Grid"/>
    <w:basedOn w:val="TableNormal"/>
    <w:rsid w:val="0011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A97A12407C847BAB47E6B04766791" ma:contentTypeVersion="12" ma:contentTypeDescription="Create a new document." ma:contentTypeScope="" ma:versionID="49ea9bfc9414d39ba3efafd4bd75cc5d">
  <xsd:schema xmlns:xsd="http://www.w3.org/2001/XMLSchema" xmlns:xs="http://www.w3.org/2001/XMLSchema" xmlns:p="http://schemas.microsoft.com/office/2006/metadata/properties" xmlns:ns2="0676a1b7-7f9a-450e-b0bc-079f8dbacd94" xmlns:ns3="d222dfa2-7607-4802-9728-acb4feeb9019" targetNamespace="http://schemas.microsoft.com/office/2006/metadata/properties" ma:root="true" ma:fieldsID="2158262b9b3823d67b0ceecedb9e2852" ns2:_="" ns3:_="">
    <xsd:import namespace="0676a1b7-7f9a-450e-b0bc-079f8dbacd94"/>
    <xsd:import namespace="d222dfa2-7607-4802-9728-acb4feeb90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a1b7-7f9a-450e-b0bc-079f8db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22dfa2-7607-4802-9728-acb4feeb90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A9325-FD71-4F37-BCF9-65F2245247AE}"/>
</file>

<file path=customXml/itemProps2.xml><?xml version="1.0" encoding="utf-8"?>
<ds:datastoreItem xmlns:ds="http://schemas.openxmlformats.org/officeDocument/2006/customXml" ds:itemID="{01B3E9B9-30B9-4E92-955E-B111B6C5B272}"/>
</file>

<file path=customXml/itemProps3.xml><?xml version="1.0" encoding="utf-8"?>
<ds:datastoreItem xmlns:ds="http://schemas.openxmlformats.org/officeDocument/2006/customXml" ds:itemID="{089B7CD1-2E46-4E76-B22D-FC2D02435D76}"/>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vt:lpstr>
    </vt:vector>
  </TitlesOfParts>
  <Company>The University of Akron</Company>
  <LinksUpToDate>false</LinksUpToDate>
  <CharactersWithSpaces>2484</CharactersWithSpaces>
  <SharedDoc>false</SharedDoc>
  <HLinks>
    <vt:vector size="30" baseType="variant">
      <vt:variant>
        <vt:i4>5701644</vt:i4>
      </vt:variant>
      <vt:variant>
        <vt:i4>12</vt:i4>
      </vt:variant>
      <vt:variant>
        <vt:i4>0</vt:i4>
      </vt:variant>
      <vt:variant>
        <vt:i4>5</vt:i4>
      </vt:variant>
      <vt:variant>
        <vt:lpwstr>http://www.uakron.edu/busfin/controller/annuities.php</vt:lpwstr>
      </vt:variant>
      <vt:variant>
        <vt:lpwstr/>
      </vt:variant>
      <vt:variant>
        <vt:i4>2228346</vt:i4>
      </vt:variant>
      <vt:variant>
        <vt:i4>9</vt:i4>
      </vt:variant>
      <vt:variant>
        <vt:i4>0</vt:i4>
      </vt:variant>
      <vt:variant>
        <vt:i4>5</vt:i4>
      </vt:variant>
      <vt:variant>
        <vt:lpwstr>http://www.uakron.edu/busfin/controller/payroll.php</vt:lpwstr>
      </vt:variant>
      <vt:variant>
        <vt:lpwstr/>
      </vt:variant>
      <vt:variant>
        <vt:i4>2949179</vt:i4>
      </vt:variant>
      <vt:variant>
        <vt:i4>6</vt:i4>
      </vt:variant>
      <vt:variant>
        <vt:i4>0</vt:i4>
      </vt:variant>
      <vt:variant>
        <vt:i4>5</vt:i4>
      </vt:variant>
      <vt:variant>
        <vt:lpwstr>http://www.irs.gov/individuals/</vt:lpwstr>
      </vt:variant>
      <vt:variant>
        <vt:lpwstr/>
      </vt:variant>
      <vt:variant>
        <vt:i4>2228346</vt:i4>
      </vt:variant>
      <vt:variant>
        <vt:i4>3</vt:i4>
      </vt:variant>
      <vt:variant>
        <vt:i4>0</vt:i4>
      </vt:variant>
      <vt:variant>
        <vt:i4>5</vt:i4>
      </vt:variant>
      <vt:variant>
        <vt:lpwstr>http://www.uakron.edu/busfin/controller/payroll.php</vt:lpwstr>
      </vt:variant>
      <vt:variant>
        <vt:lpwstr/>
      </vt:variant>
      <vt:variant>
        <vt:i4>5439597</vt:i4>
      </vt:variant>
      <vt:variant>
        <vt:i4>0</vt:i4>
      </vt:variant>
      <vt:variant>
        <vt:i4>0</vt:i4>
      </vt:variant>
      <vt:variant>
        <vt:i4>5</vt:i4>
      </vt:variant>
      <vt:variant>
        <vt:lpwstr>mailto:payroll@uakron.edu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dc:title>
  <dc:creator>Office of Personnel</dc:creator>
  <cp:lastModifiedBy>T. Diane Shovestull</cp:lastModifiedBy>
  <cp:revision>2</cp:revision>
  <cp:lastPrinted>2014-11-13T20:30:00Z</cp:lastPrinted>
  <dcterms:created xsi:type="dcterms:W3CDTF">2021-10-14T19:08:00Z</dcterms:created>
  <dcterms:modified xsi:type="dcterms:W3CDTF">2021-10-14T19:08:00Z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0x010100C89A97A12407C847BAB47E6B04766791</vt:lpwstr>
  </property>
</Properties>
</file>